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343</w:t>
      </w:r>
    </w:p>
    <w:p>
      <w:r>
        <w:t>Bundesgericht (BGE), 1979-11-23, FR</w:t>
      </w:r>
    </w:p>
    <w:p>
      <w:r>
        <w:rPr>
          <w:b/>
        </w:rPr>
        <w:t xml:space="preserve">Quelle: </w:t>
      </w:r>
      <w:r>
        <w:t>https://mcp.opencaselaw.ch/entscheid/bge_105 IV 343</w:t>
      </w:r>
    </w:p>
    <w:p>
      <w:r>
        <w:t>FR: ATF 105 IV 343</w:t>
      </w:r>
    </w:p>
    <w:p>
      <w:r>
        <w:t>IT: DTF 105 IV 343</w:t>
      </w:r>
    </w:p>
    <w:p>
      <w:pPr>
        <w:pStyle w:val="Heading2"/>
      </w:pPr>
      <w:r>
        <w:t>Regeste</w:t>
      </w:r>
    </w:p>
    <w:p>
      <w:r>
        <w:t>Regeste 1. Art. 273 Abs. 1 lit. b und 277 bis Abs. 1 BStP. Ob der Grad der Alkoholisierung rechtsgenüglich festgestellt worden ist, um als erwiesen zu gelten, ist eine Frage der Beweiswürdigung und daher mit Nichtigkeitsbeschwerde nicht anfechtbar (Erw. 2 a). 2. Art. 91 SVG. Der Täter ist strafbar, sobald seine Fahrfähigkeit merklich beeinträchtigt ist. Dass er fahrunfähig sei, braucht nicht nachgewiesen zu werden, selbst wenn eine Blutalkoholkonzentration von 0,8%0 nicht festgestellt ist (Erw. 2 c).</w:t>
      </w:r>
    </w:p>
    <w:p>
      <w:pPr>
        <w:pStyle w:val="Heading2"/>
      </w:pPr>
      <w:r>
        <w:t>Erwägungen</w:t>
      </w:r>
    </w:p>
    <w:p>
      <w:r>
        <w:rPr>
          <w:b/>
        </w:rPr>
        <w:t>E. 1</w:t>
      </w:r>
    </w:p>
    <w:p>
      <w:r>
        <w:t>Le recourant n'ayant pas déposé en temps utile le recours de droit public qu'il annonçait, pour faire constater l'arbitraire dont l'autorité cantonale aurait le cas échéant fait preuve dans l'établissement des faits de la cause, il sera statué dans le cadre du pourvoi en nullité sur la base des constatations figurant dans la décision attaquée ( art. 277bis al. 1 PPF ). L'autorité cantonale ayant constaté - le recourant admet lui-même qu'il s'agit là d'une constatation de fait - que le recourant présentait une alcoolémie supérieure à 0,8%o, on ne voit pas comment l'on peut contester en droit que l'incapacité de conduire ait été démontrée. Il s'ensuit que la condamnation du recourant pour conduite en état d'ébriété ne viole nullement le droit fédéral.</w:t>
      </w:r>
    </w:p>
    <w:p>
      <w:r>
        <w:rPr>
          <w:b/>
        </w:rPr>
        <w:t>E. 2</w:t>
      </w:r>
    </w:p>
    <w:p>
      <w:r>
        <w:t>Certes, le recourant fait valoir que les art. 55 et 91 al. 1 LCR ont été violés en ceci que l'alcoolémie qui lui est reprochée n'a pas été établie au moyen d'une prise de sang et que, pour le reste, son incapacité de conduire ne résulte d'aucun élément de preuve suffisant. a) Savoir si le degré d'alcoolémie a été établi d'une manière suffisante pour être tenu pour acquis est une question relevant de l'administration et de l'appréciation des preuves. Comme telle elle ne peut être abordée dans le cadre d'un pourvoi en nullité. On a vu plus haut qu'en renonçant à déposer un recours de droit public, le recourant a perdu la faculté de revenir sur les constatations de l'autorité cantonale et notamment sur le fait qu'il présentait une alcoolémie supérieure à 0,85%o. b) Quant à se plaindre de la manière dont son alcoolémie a été constatée, le recourant ne saurait le faire dès lors qu'il a lui-même refusé la prise de sang que l'on voulait effectuer sur lui. Dans une telle hypothèse, même si l'absence de prise de sang n'était pas imputable au recourant, l'autorité cantonale était fondée à former sa conviction au moyen d'autres éléments de preuve, tels ceux qu'elle a retenus ( ATF 103 IV 46 ). BGE 105 IV 343 S. 346 c) Il est évidemment faux de soutenir que, selon l' art. 91 LCR , lorsqu'une alcoolémie supérieure à 0,8%o n'est pas établie - elle l'est toutefois en l'espèce, rappelons-le - il convient de démontrer que l'ivresse est cause d'une incapacité de conduire. L'auteur est en effet punissable aussitôt qu'en raison de sa consommation d'alcool il est seulement entravé d'une façon non négligeable dans sa capacité de conduire. Il s'ensuit que l' art. 91 LCR n'est pas applicable du seul fait qu'il y a alcoolémie, ni seulement quand l'auteur est manifestement ivre et présente des troubles physiques ou psychiques incompatibles avec la conduite d'un véhicule. La limite de 0,8%o qui est aujourd'hui fixée par la jurisprudence et qui figurera peut-être expressément dans la loi le démontre bien: elle correspond à l'ingestion d'une quantité d'alcool certes importante mais qui, tout en amoindrissant la capacité de conduire d'une manière non négligeable, n'implique pas nécessairement chez le consommateur des signes patents de son état. Au vu de ce qui précède, on ne saurait reprocher à l'autorité cantonale d'avoir admis, même si elle n'avait pas constaté une alcoolémie, que le recourant avait bu assez d'alcool pour se trouver diminué dans sa faculté de conduire un véhicule. Elle n'a donc violé ni l'art. 55, ni l' art. 91 LCR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